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2.xml" ContentType="application/vnd.openxmlformats-officedocument.wordprocessingml.header+xml"/>
  <Override PartName="/word/footer0002.xml" ContentType="application/vnd.openxmlformats-officedocument.wordprocessingml.footer+xml"/>
  <Override PartName="/word/header0002_first.xml" ContentType="application/vnd.openxmlformats-officedocument.wordprocessingml.header+xml"/>
  <Override PartName="/word/footer0002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OFFENSIVE SECURITY UNIT - TEAM LEAD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THE ALAN TURING INSTITUTE</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There has never been a more significant time to work in data science and AI. There is recognition of the importance of these technologies to our economic and social future: the so-called fourth industrial revolution. The technical challenge of keeping our data secure and private has grown in its urgency and importance. At the same time, voices from academia, industry, and government are coming together to debate how these technologies should be governed and managed.</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The Alan Turing Institute, as the UK’s national institute for data science and artificial intelligence, plays an important part in driving forward advances in these technologies in order to change the world for the better.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The Institute is named in honour of Alan Turing, whose pioneering work in theoretical and applied mathematics, engineering and computing is considered to have laid the foundations for modern-day data science and artificial intelligence. The Institute’s purpose is to make great leaps in data science and AI research to change the world for the better. Its goals are to advance world-class research and apply it to national and global challenges, build skills for the future by contributing to training people across sectors and career stages, and drive an informed public conversation by providing balanced and evidence-based views on data science and AI.</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After launching in 2015 with government funding from EPSRC and five founding universities, the Institute has grown an extensive network of university partners from across the UK and launched a number of major partnerships with industry, public and third sector. Today it is home to more than 300 researchers, a rapidly growing team of in-house research software engineers and data scientists and a business team.</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BACKGROUND</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0"/>
          <w:szCs w:val="20"/>
          <w:lang w:val="en-GB" w:eastAsia="en-GB" w:bidi="en-GB"/>
        </w:rPr>
      </w:pPr>
      <w:r>
        <w:rPr>
          <w:rStyle w:val="normaltextrun"/>
          <w:rFonts w:ascii="Arial" w:hAnsi="Arial" w:eastAsia="Arial" w:cs="Arial"/>
          <w:color w:val="000000"/>
          <w:sz w:val="20"/>
          <w:szCs w:val="20"/>
          <w:lang w:val="en-GB" w:eastAsia="en-GB" w:bidi="en-GB"/>
        </w:rPr>
        <w:t xml:space="preserve">Operating as part of our </w:t>
      </w:r>
      <w:r>
        <w:rPr>
          <w:rStyle w:val="Hyperlink"/>
          <w:rFonts w:ascii="Arial" w:hAnsi="Arial" w:eastAsia="Arial" w:cs="Arial"/>
          <w:sz w:val="20"/>
          <w:szCs w:val="20"/>
          <w:lang w:val="en-GB" w:eastAsia="en-GB" w:bidi="en-GB"/>
        </w:rPr>
        <w:fldChar w:fldCharType="begin"/>
      </w:r>
      <w:r>
        <w:rPr>
          <w:rStyle w:val="Hyperlink"/>
          <w:rFonts w:ascii="Arial" w:hAnsi="Arial" w:eastAsia="Arial" w:cs="Arial"/>
          <w:sz w:val="20"/>
          <w:szCs w:val="20"/>
          <w:lang w:val="en-GB" w:eastAsia="en-GB" w:bidi="en-GB"/>
        </w:rPr>
        <w:instrText xml:space="preserve"> HYPERLINK "https://www.turing.ac.uk/science-innovation/defence-and-national-security" </w:instrText>
      </w:r>
      <w:r>
        <w:rPr>
          <w:rStyle w:val="Hyperlink"/>
          <w:rFonts w:ascii="Arial" w:hAnsi="Arial" w:eastAsia="Arial" w:cs="Arial"/>
          <w:sz w:val="20"/>
          <w:szCs w:val="20"/>
          <w:lang w:val="en-GB" w:eastAsia="en-GB" w:bidi="en-GB"/>
        </w:rPr>
        <w:fldChar w:fldCharType="separate"/>
      </w:r>
      <w:r>
        <w:rPr>
          <w:rStyle w:val="Hyperlink"/>
          <w:rFonts w:ascii="Arial" w:hAnsi="Arial" w:eastAsia="Arial" w:cs="Arial"/>
          <w:sz w:val="20"/>
          <w:szCs w:val="20"/>
          <w:lang w:val="en-GB" w:eastAsia="en-GB" w:bidi="en-GB"/>
        </w:rPr>
        <w:t xml:space="preserve">Defence &amp; National Security team</w:t>
      </w:r>
      <w:r>
        <w:rPr>
          <w:rStyle w:val="normaltextrun"/>
          <w:rFonts w:ascii="Arial" w:hAnsi="Arial" w:eastAsia="Arial" w:cs="Arial"/>
          <w:color w:val="000000"/>
          <w:sz w:val="20"/>
          <w:szCs w:val="20"/>
          <w:lang w:val="en-GB" w:eastAsia="en-GB" w:bidi="en-GB"/>
        </w:rPr>
        <w:fldChar w:fldCharType="end"/>
      </w:r>
      <w:r>
        <w:rPr>
          <w:rStyle w:val="normaltextrun"/>
          <w:rFonts w:ascii="Arial" w:hAnsi="Arial" w:eastAsia="Arial" w:cs="Arial"/>
          <w:color w:val="000000"/>
          <w:sz w:val="20"/>
          <w:szCs w:val="20"/>
          <w:lang w:val="en-GB" w:eastAsia="en-GB" w:bidi="en-GB"/>
        </w:rPr>
        <w:t xml:space="preserve">, our work depends not just on new ideas, but on strong experimental practice, rigorous implementation, and high-quality prototyping.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0"/>
          <w:szCs w:val="20"/>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0"/>
          <w:szCs w:val="20"/>
          <w:lang w:val="en-GB" w:eastAsia="en-GB" w:bidi="en-GB"/>
        </w:rPr>
      </w:pPr>
      <w:r>
        <w:rPr>
          <w:rStyle w:val="normaltextrun"/>
          <w:rFonts w:ascii="Arial" w:hAnsi="Arial" w:eastAsia="Arial" w:cs="Arial"/>
          <w:color w:val="000000"/>
          <w:sz w:val="20"/>
          <w:szCs w:val="20"/>
          <w:lang w:val="en-GB" w:eastAsia="en-GB" w:bidi="en-GB"/>
        </w:rPr>
        <w:t xml:space="preserve">The Offensive Security Unit (OSU) forms part of the Government’s wider</w:t>
      </w:r>
      <w:r>
        <w:rPr>
          <w:rFonts w:ascii="Arial" w:hAnsi="Arial" w:eastAsia="Arial" w:cs="Arial"/>
          <w:color w:val="000000"/>
          <w:sz w:val="20"/>
          <w:szCs w:val="20"/>
          <w:lang w:val="en-GB" w:eastAsia="en-GB" w:bidi="en-GB"/>
        </w:rPr>
        <w:t xml:space="preserve"> </w:t>
      </w:r>
      <w:r>
        <w:rPr>
          <w:rStyle w:val="Hyperlink"/>
          <w:rFonts w:ascii="Arial" w:hAnsi="Arial" w:eastAsia="Arial" w:cs="Arial"/>
          <w:sz w:val="20"/>
          <w:szCs w:val="20"/>
          <w:lang w:val="en-GB" w:eastAsia="en-GB" w:bidi="en-GB"/>
        </w:rPr>
        <w:fldChar w:fldCharType="begin"/>
      </w:r>
      <w:r>
        <w:rPr>
          <w:rStyle w:val="Hyperlink"/>
          <w:rFonts w:ascii="Arial" w:hAnsi="Arial" w:eastAsia="Arial" w:cs="Arial"/>
          <w:sz w:val="20"/>
          <w:szCs w:val="20"/>
          <w:lang w:val="en-GB" w:eastAsia="en-GB" w:bidi="en-GB"/>
        </w:rPr>
        <w:instrText xml:space="preserve"> HYPERLINK "http://www.lasr.ac.uk" </w:instrText>
      </w:r>
      <w:r>
        <w:rPr>
          <w:rStyle w:val="Hyperlink"/>
          <w:rFonts w:ascii="Arial" w:hAnsi="Arial" w:eastAsia="Arial" w:cs="Arial"/>
          <w:sz w:val="20"/>
          <w:szCs w:val="20"/>
          <w:lang w:val="en-GB" w:eastAsia="en-GB" w:bidi="en-GB"/>
        </w:rPr>
        <w:fldChar w:fldCharType="separate"/>
      </w:r>
      <w:r>
        <w:rPr>
          <w:rStyle w:val="Hyperlink"/>
          <w:rFonts w:ascii="Arial" w:hAnsi="Arial" w:eastAsia="Arial" w:cs="Arial"/>
          <w:sz w:val="20"/>
          <w:szCs w:val="20"/>
          <w:lang w:val="en-GB" w:eastAsia="en-GB" w:bidi="en-GB"/>
        </w:rPr>
        <w:t xml:space="preserve">Laboratory for AI Security Research</w:t>
      </w:r>
      <w:r>
        <w:rPr>
          <w:rFonts w:ascii="Arial" w:hAnsi="Arial" w:eastAsia="Arial" w:cs="Arial"/>
          <w:color w:val="000000"/>
          <w:sz w:val="20"/>
          <w:szCs w:val="20"/>
          <w:lang w:val="en-GB" w:eastAsia="en-GB" w:bidi="en-GB"/>
        </w:rPr>
        <w:fldChar w:fldCharType="end"/>
      </w:r>
      <w:r>
        <w:rPr>
          <w:rFonts w:ascii="Arial" w:hAnsi="Arial" w:eastAsia="Arial" w:cs="Arial"/>
          <w:color w:val="000000"/>
          <w:sz w:val="20"/>
          <w:szCs w:val="20"/>
          <w:lang w:val="en-GB" w:eastAsia="en-GB" w:bidi="en-GB"/>
        </w:rPr>
        <w:t xml:space="preserve"> initiative, which brings together academia, industry, and government to advance UK leadership in AI security research.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Without truly understanding the future of cyber attacks we are limited in our ability to defend. OSU will be a dedicated team that will identify, design and assess new AI-enabled offensive techniques. The goal of this group is to keep abreast of the “art of the possible” and pre-empt the emergence of new offensive capability under the direction of the Turing’s Director of Science and Innovation for Defence and National Security and in close collaboration with our Government partners.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ROLE PURPOSE</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We are seeking a Team Lead for </w:t>
      </w:r>
      <w:r>
        <w:rPr>
          <w:rStyle w:val="normaltextrun"/>
          <w:rFonts w:ascii="Arial" w:hAnsi="Arial" w:eastAsia="Arial" w:cs="Arial"/>
          <w:sz w:val="20"/>
          <w:szCs w:val="20"/>
          <w:lang w:val="en-GB" w:eastAsia="en-GB" w:bidi="en-GB"/>
        </w:rPr>
        <w:t xml:space="preserve">with strong technical fundamentals in cybersecurity and practitioner background, a deep interest in how modern AI systems behave, and a passion for solving real-world security challenges.</w:t>
      </w:r>
      <w:r>
        <w:rPr>
          <w:rFonts w:ascii="Arial" w:hAnsi="Arial" w:eastAsia="Arial" w:cs="Arial"/>
          <w:color w:val="000000"/>
          <w:sz w:val="20"/>
          <w:szCs w:val="20"/>
          <w:lang w:val="en-GB" w:eastAsia="en-GB" w:bidi="en-GB"/>
        </w:rPr>
        <w:t xml:space="preserve"> This is a high impact role where you will lead a group of researchers and engineers and hold a deep collaborative relationship with our partners to deliver at pace.</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b/>
          <w:bCs/>
          <w:sz w:val="20"/>
          <w:szCs w:val="20"/>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color w:val="000000"/>
          <w:sz w:val="20"/>
          <w:szCs w:val="20"/>
          <w:lang w:val="en-GB" w:eastAsia="en-GB" w:bidi="en-GB"/>
        </w:rPr>
      </w:pPr>
      <w:r>
        <w:rPr>
          <w:rFonts w:ascii="Arial" w:hAnsi="Arial" w:eastAsia="Arial" w:cs="Arial"/>
          <w:b/>
          <w:bCs/>
          <w:sz w:val="20"/>
          <w:szCs w:val="20"/>
          <w:lang w:val="en-GB" w:eastAsia="en-GB" w:bidi="en-GB"/>
        </w:rPr>
        <w:t xml:space="preserve">Eligibility for DV clearance is an essential requirement for this role. Eligibility criteria and further information on the process can be found on the UK Government security vetting </w:t>
      </w:r>
      <w:r>
        <w:rPr>
          <w:rStyle w:val="Hyperlink"/>
          <w:rFonts w:ascii="Arial" w:hAnsi="Arial" w:eastAsia="Arial" w:cs="Arial"/>
          <w:b/>
          <w:bCs/>
          <w:sz w:val="20"/>
          <w:szCs w:val="20"/>
          <w:lang w:val="en-GB" w:eastAsia="en-GB" w:bidi="en-GB"/>
        </w:rPr>
        <w:fldChar w:fldCharType="begin"/>
      </w:r>
      <w:r>
        <w:rPr>
          <w:rStyle w:val="Hyperlink"/>
          <w:rFonts w:ascii="Arial" w:hAnsi="Arial" w:eastAsia="Arial" w:cs="Arial"/>
          <w:b/>
          <w:bCs/>
          <w:sz w:val="20"/>
          <w:szCs w:val="20"/>
          <w:lang w:val="en-GB" w:eastAsia="en-GB" w:bidi="en-GB"/>
        </w:rPr>
        <w:instrText xml:space="preserve"> HYPERLINK "https://www.gov.uk/government/publications/united-kingdom-security-vetting-clearance-levels/national-security-vetting-clearance-levels" \l "developed-vetting-dv" </w:instrText>
      </w:r>
      <w:r>
        <w:rPr>
          <w:rStyle w:val="Hyperlink"/>
          <w:rFonts w:ascii="Arial" w:hAnsi="Arial" w:eastAsia="Arial" w:cs="Arial"/>
          <w:b/>
          <w:bCs/>
          <w:sz w:val="20"/>
          <w:szCs w:val="20"/>
          <w:lang w:val="en-GB" w:eastAsia="en-GB" w:bidi="en-GB"/>
        </w:rPr>
        <w:fldChar w:fldCharType="separate"/>
      </w:r>
      <w:r>
        <w:rPr>
          <w:rStyle w:val="Hyperlink"/>
          <w:rFonts w:ascii="Arial" w:hAnsi="Arial" w:eastAsia="Arial" w:cs="Arial"/>
          <w:b/>
          <w:bCs/>
          <w:sz w:val="20"/>
          <w:szCs w:val="20"/>
          <w:lang w:val="en-GB" w:eastAsia="en-GB" w:bidi="en-GB"/>
        </w:rPr>
        <w:t xml:space="preserve">website</w:t>
      </w:r>
      <w:r>
        <w:rPr>
          <w:rFonts w:ascii="Arial" w:hAnsi="Arial" w:eastAsia="Arial" w:cs="Arial"/>
          <w:b/>
          <w:bCs/>
          <w:sz w:val="20"/>
          <w:szCs w:val="20"/>
          <w:lang w:val="en-GB" w:eastAsia="en-GB" w:bidi="en-GB"/>
        </w:rPr>
        <w:fldChar w:fldCharType="end"/>
      </w:r>
      <w:r>
        <w:rPr>
          <w:rFonts w:ascii="Arial" w:hAnsi="Arial" w:eastAsia="Arial" w:cs="Arial"/>
          <w:b/>
          <w:bCs/>
          <w:sz w:val="20"/>
          <w:szCs w:val="20"/>
          <w:lang w:val="en-GB" w:eastAsia="en-GB" w:bidi="en-GB"/>
        </w:rPr>
        <w:t xml:space="preserve">. Please note that we require you to provide essential information in your cover letter in order to progress your application. Details of this are in the Application Procedure section. </w:t>
      </w:r>
      <w:r>
        <w:rPr>
          <w:rFonts w:ascii="Arial" w:hAnsi="Arial" w:eastAsia="Arial" w:cs="Arial"/>
          <w:b/>
          <w:bCs/>
          <w:color w:val="000000"/>
          <w:sz w:val="20"/>
          <w:szCs w:val="20"/>
          <w:u w:val="single"/>
          <w:lang w:val="en-GB" w:eastAsia="en-GB" w:bidi="en-GB"/>
        </w:rPr>
        <w:t xml:space="preserve">Please note, if these details are not provided, we will be unable to progress with your application for this role.</w:t>
      </w:r>
      <w:r>
        <w:rPr>
          <w:rFonts w:ascii="Arial" w:hAnsi="Arial" w:eastAsia="Arial" w:cs="Arial"/>
          <w:color w:val="000000"/>
          <w:sz w:val="20"/>
          <w:szCs w:val="2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HOW YOU WILL MAKE AN IMPACT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Drive the development of the research portfolio to identify, design and test new </w:t>
      </w:r>
      <w:r>
        <w:rPr>
          <w:rFonts w:ascii="Arial" w:hAnsi="Arial" w:eastAsia="Arial" w:cs="Arial"/>
          <w:sz w:val="20"/>
          <w:szCs w:val="20"/>
          <w:lang w:val="en-GB" w:eastAsia="en-GB" w:bidi="en-GB"/>
        </w:rPr>
        <w:t xml:space="preserve">offensive cyber capabilities that goes</w:t>
      </w:r>
      <w:r>
        <w:rPr>
          <w:rFonts w:ascii="Arial" w:hAnsi="Arial" w:eastAsia="Arial" w:cs="Arial"/>
          <w:b/>
          <w:bCs/>
          <w:sz w:val="20"/>
          <w:szCs w:val="20"/>
          <w:lang w:val="en-GB" w:eastAsia="en-GB" w:bidi="en-GB"/>
        </w:rPr>
        <w:t xml:space="preserve"> </w:t>
      </w:r>
      <w:r>
        <w:rPr>
          <w:rFonts w:ascii="Arial" w:hAnsi="Arial" w:eastAsia="Arial" w:cs="Arial"/>
          <w:sz w:val="20"/>
          <w:szCs w:val="20"/>
          <w:lang w:val="en-GB" w:eastAsia="en-GB" w:bidi="en-GB"/>
        </w:rPr>
        <w:t xml:space="preserve">beyond the state-of-the art to deliver novelty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US" w:eastAsia="en-US" w:bidi="en-US"/>
        </w:rPr>
      </w:pPr>
      <w:r>
        <w:rPr>
          <w:rFonts w:ascii="Arial" w:hAnsi="Arial" w:eastAsia="Arial" w:cs="Arial"/>
          <w:b/>
          <w:bCs/>
          <w:sz w:val="20"/>
          <w:szCs w:val="20"/>
          <w:lang w:val="en-US" w:eastAsia="en-US" w:bidi="en-US"/>
        </w:rPr>
        <w:t xml:space="preserve">Lead and manage an ambitious and high-performing team </w:t>
      </w:r>
      <w:r>
        <w:rPr>
          <w:rFonts w:ascii="Arial" w:hAnsi="Arial" w:eastAsia="Arial" w:cs="Arial"/>
          <w:sz w:val="20"/>
          <w:szCs w:val="20"/>
          <w:lang w:val="en-US" w:eastAsia="en-US" w:bidi="en-US"/>
        </w:rPr>
        <w:t xml:space="preserve">that prioritizes rapid delivery, iterative testing and an outcomes-focused approach</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Ensure a high experimentation culture and good portfolio management, </w:t>
      </w:r>
      <w:r>
        <w:rPr>
          <w:rFonts w:ascii="Arial" w:hAnsi="Arial" w:eastAsia="Arial" w:cs="Arial"/>
          <w:sz w:val="20"/>
          <w:szCs w:val="20"/>
          <w:lang w:val="en-GB" w:eastAsia="en-GB" w:bidi="en-GB"/>
        </w:rPr>
        <w:t xml:space="preserve">daring to explore hard and challenging problems and comfortable de-prioritising lines of enquiry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b/>
          <w:bCs/>
          <w:sz w:val="20"/>
          <w:szCs w:val="20"/>
          <w:lang w:val="en-US" w:eastAsia="en-US" w:bidi="en-US"/>
        </w:rPr>
        <w:t xml:space="preserve">Maintain a close and effective working relationship </w:t>
      </w:r>
      <w:r>
        <w:rPr>
          <w:rFonts w:ascii="Arial" w:hAnsi="Arial" w:eastAsia="Arial" w:cs="Arial"/>
          <w:b/>
          <w:bCs/>
          <w:sz w:val="20"/>
          <w:szCs w:val="20"/>
          <w:lang w:val="en-GB" w:eastAsia="en-GB" w:bidi="en-GB"/>
        </w:rPr>
        <w:t xml:space="preserve">with partners</w:t>
      </w:r>
      <w:r>
        <w:rPr>
          <w:rFonts w:ascii="Arial" w:hAnsi="Arial" w:eastAsia="Arial" w:cs="Arial"/>
          <w:sz w:val="20"/>
          <w:szCs w:val="20"/>
          <w:lang w:val="en-GB" w:eastAsia="en-GB" w:bidi="en-GB"/>
        </w:rPr>
        <w:t xml:space="preserve"> to understand key requirements, barriers and troubleshoot to help advance the partnership</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US" w:eastAsia="en-US" w:bidi="en-US"/>
        </w:rPr>
      </w:pPr>
      <w:r>
        <w:rPr>
          <w:rFonts w:ascii="Arial" w:hAnsi="Arial" w:eastAsia="Arial" w:cs="Arial"/>
          <w:b/>
          <w:bCs/>
          <w:sz w:val="20"/>
          <w:szCs w:val="20"/>
          <w:lang w:val="en-US" w:eastAsia="en-US" w:bidi="en-US"/>
        </w:rPr>
        <w:t xml:space="preserve">Responsible for technical quality and scientific robustness </w:t>
      </w:r>
      <w:r>
        <w:rPr>
          <w:rFonts w:ascii="Arial" w:hAnsi="Arial" w:eastAsia="Arial" w:cs="Arial"/>
          <w:sz w:val="20"/>
          <w:szCs w:val="20"/>
          <w:lang w:val="en-US" w:eastAsia="en-US" w:bidi="en-US"/>
        </w:rPr>
        <w:t xml:space="preserve">of research design, experimentation strategies, evaluation and resulting outputs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Develop and maintain an approach to scalable infrastructure </w:t>
      </w:r>
      <w:r>
        <w:rPr>
          <w:rFonts w:ascii="Arial" w:hAnsi="Arial" w:eastAsia="Arial" w:cs="Arial"/>
          <w:sz w:val="20"/>
          <w:szCs w:val="20"/>
          <w:lang w:val="en-GB" w:eastAsia="en-GB" w:bidi="en-GB"/>
        </w:rPr>
        <w:t xml:space="preserve">suited to the requirements and sensitivities</w:t>
      </w:r>
      <w:r>
        <w:rPr>
          <w:rFonts w:ascii="Arial" w:hAnsi="Arial" w:eastAsia="Arial" w:cs="Arial"/>
          <w:b/>
          <w:bCs/>
          <w:sz w:val="20"/>
          <w:szCs w:val="20"/>
          <w:lang w:val="en-GB" w:eastAsia="en-GB" w:bidi="en-GB"/>
        </w:rPr>
        <w:t xml:space="preserve"> </w:t>
      </w:r>
      <w:r>
        <w:rPr>
          <w:rFonts w:ascii="Arial" w:hAnsi="Arial" w:eastAsia="Arial" w:cs="Arial"/>
          <w:sz w:val="20"/>
          <w:szCs w:val="20"/>
          <w:lang w:val="en-GB" w:eastAsia="en-GB" w:bidi="en-GB"/>
        </w:rPr>
        <w:t xml:space="preserve">of research and experimentation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US" w:eastAsia="en-US" w:bidi="en-US"/>
        </w:rPr>
      </w:pPr>
      <w:r>
        <w:rPr>
          <w:rFonts w:ascii="Arial" w:hAnsi="Arial" w:eastAsia="Arial" w:cs="Arial"/>
          <w:b/>
          <w:bCs/>
          <w:sz w:val="20"/>
          <w:szCs w:val="20"/>
          <w:lang w:val="en-US" w:eastAsia="en-US" w:bidi="en-US"/>
        </w:rPr>
        <w:t xml:space="preserve">Work collaboratively across Turing </w:t>
      </w:r>
      <w:r>
        <w:rPr>
          <w:rFonts w:ascii="Arial" w:hAnsi="Arial" w:eastAsia="Arial" w:cs="Arial"/>
          <w:sz w:val="20"/>
          <w:szCs w:val="20"/>
          <w:lang w:val="en-US" w:eastAsia="en-US" w:bidi="en-US"/>
        </w:rPr>
        <w:t xml:space="preserve">areas to ensure the smooth running of the group, including the Programme Management team to ensure timely delivery of outputs and reports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US" w:eastAsia="en-US" w:bidi="en-US"/>
        </w:rPr>
      </w:pPr>
      <w:r>
        <w:rPr>
          <w:rFonts w:ascii="Arial" w:hAnsi="Arial" w:eastAsia="Arial" w:cs="Arial"/>
          <w:b/>
          <w:bCs/>
          <w:sz w:val="20"/>
          <w:szCs w:val="20"/>
          <w:lang w:val="en-GB" w:eastAsia="en-GB" w:bidi="en-GB"/>
        </w:rPr>
        <w:t xml:space="preserve">Communicate clearly </w:t>
      </w:r>
      <w:r>
        <w:rPr>
          <w:rFonts w:ascii="Arial" w:hAnsi="Arial" w:eastAsia="Arial" w:cs="Arial"/>
          <w:sz w:val="20"/>
          <w:szCs w:val="20"/>
          <w:lang w:val="en-GB" w:eastAsia="en-GB" w:bidi="en-GB"/>
        </w:rPr>
        <w:t xml:space="preserve">with researchers, engineers, and operational stakeholders through demonstrations, documentation, and technical discussions.  Able to communicate clearly with both technical and non-technical stakeholders and across disciplines.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YOU’LL THRIVE IN THIS ROLE IF YOU</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Style w:val="normaltextrun"/>
          <w:rFonts w:ascii="Arial" w:hAnsi="Arial" w:eastAsia="Arial" w:cs="Arial"/>
          <w:sz w:val="20"/>
          <w:szCs w:val="20"/>
          <w:lang w:val="en-GB" w:eastAsia="en-GB" w:bidi="en-GB"/>
        </w:rPr>
        <w:t xml:space="preserve">Are naturally curious about how models behave and how things can go wrong under adversarial or high stress conditions.</w:t>
      </w:r>
      <w:r>
        <w:rPr>
          <w:rFonts w:ascii="Arial" w:hAnsi="Arial" w:eastAsia="Arial" w:cs="Arial"/>
          <w:lang w:val="en-GB" w:eastAsia="en-GB" w:bidi="en-GB"/>
        </w:rPr>
        <w:br w:type="textWrapping"/>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Arial" w:hAnsi="Arial" w:eastAsia="Arial" w:cs="Arial"/>
          <w:sz w:val="20"/>
          <w:szCs w:val="20"/>
          <w:lang w:val="en-GB" w:eastAsia="en-GB" w:bidi="en-GB"/>
        </w:rPr>
      </w:pPr>
      <w:r>
        <w:rPr>
          <w:rStyle w:val="normaltextrun"/>
          <w:rFonts w:ascii="Arial" w:hAnsi="Arial" w:eastAsia="Arial" w:cs="Arial"/>
          <w:sz w:val="20"/>
          <w:szCs w:val="20"/>
          <w:lang w:val="en-GB" w:eastAsia="en-GB" w:bidi="en-GB"/>
        </w:rPr>
        <w:t xml:space="preserve">Enjoy collaborating with researchers to refine ideas and turn them into high-quality prototypes.</w:t>
      </w:r>
    </w:p>
    <w:p>
      <w:pPr>
        <w:pStyle w:val="paragraph"/>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color w:val="000000"/>
          <w:sz w:val="20"/>
          <w:szCs w:val="20"/>
          <w:lang w:val="en-GB" w:eastAsia="en-GB" w:bidi="en-GB"/>
        </w:rPr>
      </w:pP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Style w:val="normaltextrun"/>
          <w:rFonts w:ascii="Arial" w:hAnsi="Arial" w:eastAsia="Arial" w:cs="Arial"/>
          <w:sz w:val="20"/>
          <w:szCs w:val="20"/>
          <w:lang w:val="en-GB" w:eastAsia="en-GB" w:bidi="en-GB"/>
        </w:rPr>
        <w:t xml:space="preserve">Want your research and engineering expertise to have direct scientific impact.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Please note that job descriptions cannot be exhaustive, and the postholder may be required to undertake other duties, which are broadly in line with the above key responsibilities. This job description is written at a specific time and is subject to changes as the demands of the Institute and the role develop.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APPLICATION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Fonts w:ascii="Arial" w:hAnsi="Arial" w:eastAsia="Arial" w:cs="Arial"/>
          <w:sz w:val="20"/>
          <w:szCs w:val="20"/>
          <w:lang w:val="en-GB" w:eastAsia="en-GB" w:bidi="en-GB"/>
        </w:rPr>
      </w:pPr>
      <w:r>
        <w:rPr>
          <w:rFonts w:ascii="Arial" w:hAnsi="Arial" w:eastAsia="Arial" w:cs="Arial"/>
          <w:color w:val="000000"/>
          <w:sz w:val="20"/>
          <w:szCs w:val="20"/>
          <w:lang w:val="en-GB" w:eastAsia="en-GB" w:bidi="en-GB"/>
        </w:rPr>
        <w:t xml:space="preserve">If you are interested in this opportunity, please click the apply button below. You will need to register on the applicant portal and complete the application form, information required is outlined clearly in the full Job Description.  If you have questions about the role or would like to apply using a different format, please contact us at </w:t>
      </w:r>
      <w:r>
        <w:rPr>
          <w:rStyle w:val="Hyperlink"/>
          <w:rFonts w:ascii="Arial" w:hAnsi="Arial" w:eastAsia="Arial" w:cs="Arial"/>
          <w:sz w:val="20"/>
          <w:szCs w:val="20"/>
          <w:lang w:val="en-GB" w:eastAsia="en-GB" w:bidi="en-GB"/>
        </w:rPr>
        <w:fldChar w:fldCharType="begin"/>
      </w:r>
      <w:r>
        <w:rPr>
          <w:rStyle w:val="Hyperlink"/>
          <w:rFonts w:ascii="Arial" w:hAnsi="Arial" w:eastAsia="Arial" w:cs="Arial"/>
          <w:sz w:val="20"/>
          <w:szCs w:val="20"/>
          <w:lang w:val="en-GB" w:eastAsia="en-GB" w:bidi="en-GB"/>
        </w:rPr>
        <w:instrText xml:space="preserve"> HYPERLINK "mailto:recruitment@turing.ac.uk" </w:instrText>
      </w:r>
      <w:r>
        <w:rPr>
          <w:rStyle w:val="Hyperlink"/>
          <w:rFonts w:ascii="Arial" w:hAnsi="Arial" w:eastAsia="Arial" w:cs="Arial"/>
          <w:sz w:val="20"/>
          <w:szCs w:val="20"/>
          <w:lang w:val="en-GB" w:eastAsia="en-GB" w:bidi="en-GB"/>
        </w:rPr>
        <w:fldChar w:fldCharType="separate"/>
      </w:r>
      <w:r>
        <w:rPr>
          <w:rStyle w:val="Hyperlink"/>
          <w:rFonts w:ascii="Arial" w:hAnsi="Arial" w:eastAsia="Arial" w:cs="Arial"/>
          <w:sz w:val="20"/>
          <w:szCs w:val="20"/>
          <w:lang w:val="en-GB" w:eastAsia="en-GB" w:bidi="en-GB"/>
        </w:rPr>
        <w:t xml:space="preserve">recruitment@turing.ac.uk</w:t>
      </w:r>
      <w:r>
        <w:rPr>
          <w:rFonts w:ascii="Arial" w:hAnsi="Arial" w:eastAsia="Arial" w:cs="Arial"/>
          <w:sz w:val="20"/>
          <w:szCs w:val="20"/>
          <w:lang w:val="en-GB" w:eastAsia="en-GB" w:bidi="en-GB"/>
        </w:rPr>
        <w:fldChar w:fldCharType="end"/>
      </w:r>
      <w:r>
        <w:rPr>
          <w:rFonts w:ascii="Arial" w:hAnsi="Arial" w:eastAsia="Arial" w:cs="Arial"/>
          <w:sz w:val="20"/>
          <w:szCs w:val="20"/>
          <w:lang w:val="en-GB" w:eastAsia="en-GB" w:bidi="en-GB"/>
        </w:rPr>
        <w:t xml:space="preserve">.</w:t>
      </w: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b/>
          <w:bCs/>
          <w:color w:val="000000"/>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b/>
          <w:bCs/>
          <w:color w:val="000000"/>
          <w:sz w:val="20"/>
          <w:szCs w:val="20"/>
          <w:lang w:val="en-GB" w:eastAsia="en-GB" w:bidi="en-GB"/>
        </w:rPr>
      </w:pPr>
      <w:r>
        <w:rPr>
          <w:rFonts w:ascii="Arial" w:hAnsi="Arial" w:eastAsia="Arial" w:cs="Arial"/>
          <w:b/>
          <w:bCs/>
          <w:color w:val="000000"/>
          <w:sz w:val="20"/>
          <w:szCs w:val="20"/>
          <w:lang w:val="en-GB" w:eastAsia="en-GB" w:bidi="en-GB"/>
        </w:rPr>
        <w:t xml:space="preserve">CLOSING DATE FOR APPLICATIONS: 6</w:t>
      </w:r>
      <w:r>
        <w:rPr>
          <w:rFonts w:ascii="Arial" w:hAnsi="Arial" w:eastAsia="Arial" w:cs="Arial"/>
          <w:b/>
          <w:bCs/>
          <w:color w:val="000000"/>
          <w:sz w:val="20"/>
          <w:szCs w:val="20"/>
          <w:vertAlign w:val="superscript"/>
          <w:lang w:val="en-GB" w:eastAsia="en-GB" w:bidi="en-GB"/>
        </w:rPr>
        <w:t xml:space="preserve">th</w:t>
      </w:r>
      <w:r>
        <w:rPr>
          <w:rFonts w:ascii="Arial" w:hAnsi="Arial" w:eastAsia="Arial" w:cs="Arial"/>
          <w:b/>
          <w:bCs/>
          <w:color w:val="000000"/>
          <w:sz w:val="20"/>
          <w:szCs w:val="20"/>
          <w:lang w:val="en-GB" w:eastAsia="en-GB" w:bidi="en-GB"/>
        </w:rPr>
        <w:t xml:space="preserve"> June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 </w:t>
      </w: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p>
    <w:tbl>
      <w:tblPr>
        <w:tblW w:w="0" w:type="auto"/>
        <w:jc w:val="left"/>
        <w:tblInd w:w="10" w:type="dxa"/>
        <w:tblBorders>
          <w:top w:val="none"/>
          <w:left w:val="single" w:sz="8" w:space="0" w:color="auto"/>
          <w:bottom w:val="single" w:sz="8" w:space="0" w:color="auto"/>
          <w:right w:val="single" w:sz="8" w:space="0" w:color="auto"/>
          <w:insideH w:val="none"/>
          <w:insideV w:val="none"/>
        </w:tblBorders>
        <w:tblLayout w:type="fixed"/>
        <w:tblCellMar>
          <w:top w:w="0" w:type="dxa"/>
          <w:left w:w="20" w:type="dxa"/>
          <w:bottom w:w="0" w:type="dxa"/>
          <w:right w:w="20" w:type="dxa"/>
        </w:tblCellMar>
      </w:tblPr>
      <w:tblGrid>
        <w:gridCol w:w="10774"/>
      </w:tblGrid>
      <w:tr>
        <w:trPr>
          <w:trHeight w:val="454" w:hRule="atLeast"/>
        </w:trPr>
        <w:tc>
          <w:tcPr>
            <w:tcW w:w="10774" w:type="dxa"/>
            <w:tcBorders>
              <w:bottom w:val="single" w:sz="8" w:space="0" w:color="auto"/>
            </w:tcBorders>
            <w:shd w:val="clear" w:color="auto" w:fill="D9D9D9"/>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18"/>
                <w:szCs w:val="18"/>
                <w:lang w:val="en-GB" w:eastAsia="en-GB" w:bidi="en-GB"/>
              </w:rPr>
            </w:pPr>
            <w:r>
              <w:rPr>
                <w:rFonts w:ascii="Arial" w:hAnsi="Arial" w:eastAsia="Arial" w:cs="Arial"/>
                <w:b/>
                <w:bCs/>
                <w:sz w:val="20"/>
                <w:szCs w:val="20"/>
                <w:lang w:val="en-GB" w:eastAsia="en-GB" w:bidi="en-GB"/>
              </w:rPr>
              <w:t xml:space="preserve">PERSON SPECIFICATION</w:t>
            </w:r>
          </w:p>
        </w:tc>
      </w:tr>
    </w:tbl>
    <w:tbl>
      <w:tblPr>
        <w:tblW w:w="0" w:type="auto"/>
        <w:jc w:val="left"/>
        <w:tblInd w:w="10" w:type="dxa"/>
        <w:tblBorders>
          <w:top w:val="none"/>
          <w:left w:val="single" w:sz="8" w:space="0" w:color="auto"/>
          <w:bottom w:val="single" w:sz="8" w:space="0" w:color="auto"/>
          <w:right w:val="single" w:sz="8" w:space="0" w:color="auto"/>
          <w:insideH w:val="single" w:sz="4" w:space="0" w:color="auto"/>
          <w:insideV w:val="single" w:sz="8" w:space="0" w:color="auto"/>
        </w:tblBorders>
        <w:tblLayout w:type="fixed"/>
        <w:tblCellMar>
          <w:top w:w="0" w:type="dxa"/>
          <w:left w:w="0" w:type="dxa"/>
          <w:bottom w:w="0" w:type="dxa"/>
          <w:right w:w="20" w:type="dxa"/>
        </w:tblCellMar>
      </w:tblPr>
      <w:tblGrid>
        <w:gridCol w:w="9037"/>
        <w:gridCol w:w="801"/>
        <w:gridCol w:w="936"/>
      </w:tblGrid>
      <w:tr>
        <w:trPr>
          <w:trHeight w:val="1335" w:hRule="atLeast"/>
        </w:trPr>
        <w:tc>
          <w:tcPr>
            <w:tcW w:w="9037" w:type="dxa"/>
            <w:tcBorders>
              <w:top w:val="nil"/>
            </w:tcBorders>
            <w:shd w:val="clear" w:color="auto" w:fill="auto"/>
            <w:tcMar>
              <w:left w:w="2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exact"/>
              <w:jc w:val="center"/>
              <w:rPr>
                <w:rFonts w:ascii="Arial" w:hAnsi="Arial" w:eastAsia="Arial" w:cs="Arial"/>
                <w:b/>
                <w:bCs/>
                <w:sz w:val="18"/>
                <w:szCs w:val="18"/>
                <w:lang w:val="en-GB" w:eastAsia="en-GB" w:bidi="en-GB"/>
              </w:rPr>
            </w:pPr>
            <w:r>
              <w:rPr>
                <w:rFonts w:ascii="Arial" w:hAnsi="Arial" w:eastAsia="Arial" w:cs="Arial"/>
                <w:b/>
                <w:bCs/>
                <w:sz w:val="18"/>
                <w:szCs w:val="18"/>
                <w:lang w:val="en-GB" w:eastAsia="en-GB" w:bidi="en-GB"/>
              </w:rPr>
              <w:t xml:space="preserve">Skills and Requirements</w:t>
            </w:r>
          </w:p>
          <w:p>
            <w:pPr>
              <w:pStyle w:val="Normal"/>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0"/>
              <w:jc w:val="center"/>
              <w:rPr>
                <w:rFonts w:ascii="Arial" w:hAnsi="Arial" w:eastAsia="Arial" w:cs="Arial"/>
                <w:b/>
                <w:bCs/>
                <w:sz w:val="18"/>
                <w:szCs w:val="18"/>
                <w:lang w:val="en-GB" w:eastAsia="en-GB" w:bidi="en-GB"/>
              </w:rPr>
            </w:pPr>
            <w:r>
              <w:rPr>
                <w:rFonts w:ascii="Arial" w:hAnsi="Arial" w:eastAsia="Arial" w:cs="Arial"/>
                <w:sz w:val="18"/>
                <w:szCs w:val="18"/>
                <w:lang w:val="en-GB" w:eastAsia="en-GB" w:bidi="en-GB"/>
              </w:rPr>
              <w:t xml:space="preserve">Post holders will be expected to demonstrate the following:</w:t>
            </w:r>
          </w:p>
        </w:tc>
        <w:tc>
          <w:tcPr>
            <w:tcW w:w="801" w:type="dxa"/>
            <w:tcBorders>
              <w:top w:val="nil"/>
              <w:left w:val="nil"/>
            </w:tcBorders>
            <w:shd w:val="clear" w:color="auto" w:fill="FFFFFF"/>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Arial" w:hAnsi="Arial" w:eastAsia="Arial" w:cs="Arial"/>
                <w:b/>
                <w:bCs/>
                <w:sz w:val="18"/>
                <w:szCs w:val="18"/>
                <w:lang w:val="en-GB" w:eastAsia="en-GB" w:bidi="en-GB"/>
              </w:rPr>
            </w:pPr>
            <w:r>
              <w:rPr>
                <w:rFonts w:ascii="Arial" w:hAnsi="Arial" w:eastAsia="Arial" w:cs="Arial"/>
                <w:b/>
                <w:bCs/>
                <w:sz w:val="18"/>
                <w:szCs w:val="18"/>
                <w:lang w:val="en-GB" w:eastAsia="en-GB" w:bidi="en-GB"/>
              </w:rPr>
              <w:t xml:space="preserve">Essential (E)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Arial" w:hAnsi="Arial" w:eastAsia="Arial" w:cs="Arial"/>
                <w:b/>
                <w:bCs/>
                <w:sz w:val="18"/>
                <w:szCs w:val="18"/>
                <w:lang w:val="en-GB" w:eastAsia="en-GB" w:bidi="en-GB"/>
              </w:rPr>
            </w:pPr>
            <w:r>
              <w:rPr>
                <w:rFonts w:ascii="Arial" w:hAnsi="Arial" w:eastAsia="Arial" w:cs="Arial"/>
                <w:b/>
                <w:bCs/>
                <w:sz w:val="18"/>
                <w:szCs w:val="18"/>
                <w:lang w:val="en-GB" w:eastAsia="en-GB" w:bidi="en-GB"/>
              </w:rPr>
              <w:t xml:space="preserve">Desirable (D)</w:t>
            </w:r>
          </w:p>
        </w:tc>
        <w:tc>
          <w:tcPr>
            <w:tcW w:w="936" w:type="dxa"/>
            <w:tcBorders>
              <w:top w:val="nil"/>
              <w:left w:val="nil"/>
            </w:tcBorders>
            <w:shd w:val="clear" w:color="auto" w:fill="FFFFFF"/>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Arial" w:hAnsi="Arial" w:eastAsia="Arial" w:cs="Arial"/>
                <w:b/>
                <w:bCs/>
                <w:sz w:val="18"/>
                <w:szCs w:val="18"/>
                <w:lang w:val="en-GB" w:eastAsia="en-GB" w:bidi="en-GB"/>
              </w:rPr>
            </w:pPr>
            <w:r>
              <w:rPr>
                <w:rFonts w:ascii="Arial" w:hAnsi="Arial" w:eastAsia="Arial" w:cs="Arial"/>
                <w:b/>
                <w:bCs/>
                <w:sz w:val="18"/>
                <w:szCs w:val="18"/>
                <w:lang w:val="en-GB" w:eastAsia="en-GB" w:bidi="en-GB"/>
              </w:rPr>
              <w:t xml:space="preserve">Tested at application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Arial" w:hAnsi="Arial" w:eastAsia="Arial" w:cs="Arial"/>
                <w:b/>
                <w:bCs/>
                <w:sz w:val="18"/>
                <w:szCs w:val="18"/>
                <w:lang w:val="en-GB" w:eastAsia="en-GB" w:bidi="en-GB"/>
              </w:rPr>
            </w:pPr>
            <w:r>
              <w:rPr>
                <w:rFonts w:ascii="Arial" w:hAnsi="Arial" w:eastAsia="Arial" w:cs="Arial"/>
                <w:b/>
                <w:bCs/>
                <w:sz w:val="18"/>
                <w:szCs w:val="18"/>
                <w:lang w:val="en-GB" w:eastAsia="en-GB" w:bidi="en-GB"/>
              </w:rPr>
              <w:t xml:space="preserve">Tested at interview  (i)</w:t>
            </w:r>
          </w:p>
        </w:tc>
      </w:tr>
      <w:tr>
        <w:trPr>
          <w:trHeight w:val="1138" w:hRule="atLeast"/>
        </w:trPr>
        <w:tc>
          <w:tcPr>
            <w:tcW w:w="9037" w:type="dxa"/>
            <w:tcBorders>
              <w:left w:val="single" w:sz="4" w:space="0" w:color="auto"/>
              <w:right w:val="single" w:sz="4" w:space="0" w:color="auto"/>
            </w:tcBorders>
            <w:shd w:val="clear" w:color="auto" w:fill="auto"/>
            <w:tcMar>
              <w:left w:w="10" w:type="dxa"/>
              <w:right w:w="10" w:type="dxa"/>
            </w:tcMar>
            <w:vAlign w:val="top"/>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8437"/>
              <w:gridCol w:w="199"/>
              <w:gridCol w:w="380"/>
            </w:tblGrid>
            <w:tr>
              <w:tc>
                <w:tcPr>
                  <w:tcW w:w="8437" w:type="dxa"/>
                  <w:shd w:val="clear" w:color="auto" w:fill="auto"/>
                  <w:vAlign w:val="top"/>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8407"/>
                  </w:tblGrid>
                  <w:tr>
                    <w:tc>
                      <w:tcPr>
                        <w:tcW w:w="840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Deep-seated expertise in cybersecurity, and qualifications in cyber, computer science, or a related technical field involving both programming and analytical problem-solving. Relevant certifications or equivalent experience are acceptable in place of academic qualifications.</w:t>
                        </w:r>
                      </w:p>
                    </w:tc>
                  </w:tr>
                </w:tbl>
                <w:p/>
              </w:tc>
              <w:tc>
                <w:tcPr>
                  <w:tcW w:w="1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E</w:t>
                  </w:r>
                </w:p>
              </w:tc>
              <w:tc>
                <w:tcPr>
                  <w:tcW w:w="38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A/I</w:t>
                  </w:r>
                </w:p>
              </w:tc>
            </w:tr>
          </w:tbl>
          <w:p/>
        </w:tc>
        <w:tc>
          <w:tcPr>
            <w:tcW w:w="801" w:type="dxa"/>
            <w:tcBorders>
              <w:left w:val="single" w:sz="4" w:space="0" w:color="auto"/>
              <w:right w:val="single" w:sz="4" w:space="0" w:color="auto"/>
            </w:tcBorders>
            <w:shd w:val="clear" w:color="auto" w:fill="auto"/>
            <w:tcMar>
              <w:left w:w="10" w:type="dxa"/>
              <w:right w:w="1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E</w:t>
            </w:r>
          </w:p>
        </w:tc>
        <w:tc>
          <w:tcPr>
            <w:tcW w:w="936" w:type="dxa"/>
            <w:tcBorders>
              <w:left w:val="single" w:sz="4" w:space="0" w:color="auto"/>
              <w:right w:val="single" w:sz="4" w:space="0" w:color="auto"/>
            </w:tcBorders>
            <w:shd w:val="clear" w:color="auto" w:fill="auto"/>
            <w:tcMar>
              <w:left w:w="10" w:type="dxa"/>
              <w:right w:w="1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A/I</w:t>
            </w:r>
          </w:p>
        </w:tc>
      </w:tr>
      <w:tr>
        <w:trPr>
          <w:trHeight w:val="606" w:hRule="atLeast"/>
        </w:trPr>
        <w:tc>
          <w:tcPr>
            <w:tcW w:w="9037" w:type="dxa"/>
            <w:tcBorders>
              <w:left w:val="single" w:sz="4" w:space="0" w:color="auto"/>
              <w:right w:val="single" w:sz="4" w:space="0" w:color="auto"/>
            </w:tcBorders>
            <w:shd w:val="clear" w:color="auto" w:fill="auto"/>
            <w:tcMar>
              <w:left w:w="10" w:type="dxa"/>
              <w:right w:w="10" w:type="dxa"/>
            </w:tcMar>
            <w:vAlign w:val="top"/>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6992"/>
            </w:tblGrid>
            <w:tr>
              <w:tc>
                <w:tcPr>
                  <w:tcW w:w="699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Ability to independently scope and execute offensive security investigations while collaborating effectively within multidisciplinary teams</w:t>
                  </w:r>
                </w:p>
              </w:tc>
            </w:tr>
          </w:tbl>
          <w:p/>
        </w:tc>
        <w:tc>
          <w:tcPr>
            <w:tcW w:w="801" w:type="dxa"/>
            <w:tcBorders>
              <w:left w:val="single" w:sz="4" w:space="0" w:color="auto"/>
              <w:right w:val="single" w:sz="4" w:space="0" w:color="auto"/>
            </w:tcBorders>
            <w:shd w:val="clear" w:color="auto" w:fill="auto"/>
            <w:tcMar>
              <w:left w:w="10" w:type="dxa"/>
              <w:right w:w="1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E</w:t>
            </w:r>
          </w:p>
        </w:tc>
        <w:tc>
          <w:tcPr>
            <w:tcW w:w="936" w:type="dxa"/>
            <w:tcBorders>
              <w:left w:val="single" w:sz="4" w:space="0" w:color="auto"/>
              <w:right w:val="single" w:sz="4" w:space="0" w:color="auto"/>
            </w:tcBorders>
            <w:shd w:val="clear" w:color="auto" w:fill="auto"/>
            <w:tcMar>
              <w:left w:w="10" w:type="dxa"/>
              <w:right w:w="1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A/I</w:t>
            </w:r>
          </w:p>
        </w:tc>
      </w:tr>
      <w:tr>
        <w:trPr>
          <w:trHeight w:val="670" w:hRule="atLeast"/>
        </w:trPr>
        <w:tc>
          <w:tcPr>
            <w:tcW w:w="9037" w:type="dxa"/>
            <w:tcBorders>
              <w:left w:val="single" w:sz="4" w:space="0" w:color="auto"/>
              <w:right w:val="single" w:sz="4" w:space="0" w:color="auto"/>
            </w:tcBorders>
            <w:shd w:val="clear" w:color="auto" w:fill="auto"/>
            <w:tcMar>
              <w:left w:w="10" w:type="dxa"/>
              <w:right w:w="10" w:type="dxa"/>
            </w:tcMar>
            <w:vAlign w:val="top"/>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6991"/>
            </w:tblGrid>
            <w:tr>
              <w:tc>
                <w:tcPr>
                  <w:tcW w:w="699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Working understanding of modern AI methodologies (e.g. large language models, deep learning systems, or agent-based architectures) sufficient to identify and reason about potential attack surfaces</w:t>
                  </w:r>
                </w:p>
              </w:tc>
            </w:tr>
          </w:tbl>
          <w:p/>
        </w:tc>
        <w:tc>
          <w:tcPr>
            <w:tcW w:w="801" w:type="dxa"/>
            <w:tcBorders>
              <w:left w:val="single" w:sz="4" w:space="0" w:color="auto"/>
              <w:right w:val="single" w:sz="4" w:space="0" w:color="auto"/>
            </w:tcBorders>
            <w:shd w:val="clear" w:color="auto" w:fill="auto"/>
            <w:tcMar>
              <w:left w:w="10" w:type="dxa"/>
              <w:right w:w="1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5" w:lineRule="exact"/>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E</w:t>
            </w:r>
          </w:p>
        </w:tc>
        <w:tc>
          <w:tcPr>
            <w:tcW w:w="936" w:type="dxa"/>
            <w:tcBorders>
              <w:left w:val="single" w:sz="4" w:space="0" w:color="auto"/>
              <w:right w:val="single" w:sz="4" w:space="0" w:color="auto"/>
            </w:tcBorders>
            <w:shd w:val="clear" w:color="auto" w:fill="auto"/>
            <w:tcMar>
              <w:left w:w="10" w:type="dxa"/>
              <w:right w:w="1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5" w:lineRule="exact"/>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A/I</w:t>
            </w:r>
          </w:p>
        </w:tc>
      </w:tr>
      <w:tr>
        <w:trPr>
          <w:trHeight w:val="670" w:hRule="atLeast"/>
        </w:trPr>
        <w:tc>
          <w:tcPr>
            <w:tcW w:w="9037" w:type="dxa"/>
            <w:tcBorders>
              <w:left w:val="single" w:sz="4" w:space="0" w:color="auto"/>
              <w:right w:val="single" w:sz="4" w:space="0" w:color="auto"/>
            </w:tcBorders>
            <w:shd w:val="clear" w:color="auto" w:fill="auto"/>
            <w:tcMar>
              <w:left w:w="10" w:type="dxa"/>
              <w:right w:w="10" w:type="dxa"/>
            </w:tcMar>
            <w:vAlign w:val="top"/>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6968"/>
            </w:tblGrid>
            <w:tr>
              <w:tc>
                <w:tcPr>
                  <w:tcW w:w="696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Experience conducting threat modelling, identifying attack surfaces, and translating real-world adversary behaviour into testable scenarios</w:t>
                  </w:r>
                </w:p>
              </w:tc>
            </w:tr>
          </w:tbl>
          <w:p/>
        </w:tc>
        <w:tc>
          <w:tcPr>
            <w:tcW w:w="801" w:type="dxa"/>
            <w:tcBorders>
              <w:left w:val="single" w:sz="4" w:space="0" w:color="auto"/>
              <w:right w:val="single" w:sz="4" w:space="0" w:color="auto"/>
            </w:tcBorders>
            <w:shd w:val="clear" w:color="auto" w:fill="auto"/>
            <w:tcMar>
              <w:left w:w="10" w:type="dxa"/>
              <w:right w:w="1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5" w:lineRule="exact"/>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E</w:t>
            </w:r>
          </w:p>
        </w:tc>
        <w:tc>
          <w:tcPr>
            <w:tcW w:w="936" w:type="dxa"/>
            <w:tcBorders>
              <w:left w:val="single" w:sz="4" w:space="0" w:color="auto"/>
              <w:right w:val="single" w:sz="4" w:space="0" w:color="auto"/>
            </w:tcBorders>
            <w:shd w:val="clear" w:color="auto" w:fill="auto"/>
            <w:tcMar>
              <w:left w:w="10" w:type="dxa"/>
              <w:right w:w="1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5" w:lineRule="exact"/>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A/I</w:t>
            </w:r>
          </w:p>
        </w:tc>
      </w:tr>
      <w:tr>
        <w:trPr>
          <w:trHeight w:val="971" w:hRule="atLeast"/>
        </w:trPr>
        <w:tc>
          <w:tcPr>
            <w:tcW w:w="9037" w:type="dxa"/>
            <w:tcBorders>
              <w:top w:val="nil"/>
              <w:bottom w:val="single" w:sz="8" w:space="0" w:color="auto"/>
            </w:tcBorders>
            <w:shd w:val="clear" w:color="auto" w:fill="auto"/>
            <w:tcMar>
              <w:left w:w="20" w:type="dxa"/>
            </w:tcMar>
            <w:vAlign w:val="top"/>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6958"/>
            </w:tblGrid>
            <w:tr>
              <w:tc>
                <w:tcPr>
                  <w:tcW w:w="695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Experience working with stakeholders to define security problems, prioritise risks, and scope technical investigations or testing strategies</w:t>
                  </w:r>
                </w:p>
              </w:tc>
            </w:tr>
          </w:tbl>
          <w:p/>
        </w:tc>
        <w:tc>
          <w:tcPr>
            <w:tcW w:w="801" w:type="dxa"/>
            <w:tcBorders>
              <w:top w:val="nil"/>
              <w:left w:val="nil"/>
              <w:bottom w:val="single" w:sz="8"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E</w:t>
            </w:r>
          </w:p>
        </w:tc>
        <w:tc>
          <w:tcPr>
            <w:tcW w:w="936" w:type="dxa"/>
            <w:tcBorders>
              <w:top w:val="nil"/>
              <w:left w:val="nil"/>
              <w:bottom w:val="single" w:sz="8"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A/I</w:t>
            </w:r>
          </w:p>
        </w:tc>
      </w:tr>
      <w:tr>
        <w:trPr>
          <w:trHeight w:val="559" w:hRule="atLeast"/>
        </w:trPr>
        <w:tc>
          <w:tcPr>
            <w:tcW w:w="9037" w:type="dxa"/>
            <w:tcBorders>
              <w:top w:val="nil"/>
              <w:bottom w:val="single" w:sz="8" w:space="0" w:color="auto"/>
            </w:tcBorders>
            <w:shd w:val="clear" w:color="auto" w:fill="auto"/>
            <w:tcMar>
              <w:left w:w="20" w:type="dxa"/>
            </w:tcMar>
            <w:vAlign w:val="top"/>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8997"/>
            </w:tblGrid>
            <w:tr>
              <w:tc>
                <w:tcPr>
                  <w:tcW w:w="899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Direct experience supporting Defence, National Security, or other high-assurance environments, particularly in offensive security or red teaming roles</w:t>
                  </w:r>
                </w:p>
              </w:tc>
            </w:tr>
          </w:tbl>
          <w:p/>
        </w:tc>
        <w:tc>
          <w:tcPr>
            <w:tcW w:w="801" w:type="dxa"/>
            <w:tcBorders>
              <w:top w:val="nil"/>
              <w:left w:val="nil"/>
              <w:bottom w:val="single" w:sz="8"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E</w:t>
            </w:r>
          </w:p>
        </w:tc>
        <w:tc>
          <w:tcPr>
            <w:tcW w:w="936" w:type="dxa"/>
            <w:tcBorders>
              <w:top w:val="nil"/>
              <w:left w:val="nil"/>
              <w:bottom w:val="single" w:sz="8"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A/I</w:t>
            </w:r>
          </w:p>
        </w:tc>
      </w:tr>
      <w:tr>
        <w:trPr>
          <w:trHeight w:val="753" w:hRule="atLeast"/>
        </w:trPr>
        <w:tc>
          <w:tcPr>
            <w:tcW w:w="9037" w:type="dxa"/>
            <w:tcBorders>
              <w:top w:val="nil"/>
            </w:tcBorders>
            <w:shd w:val="clear" w:color="auto" w:fill="auto"/>
            <w:tcMar>
              <w:left w:w="20" w:type="dxa"/>
            </w:tcMar>
            <w:vAlign w:val="top"/>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6981"/>
            </w:tblGrid>
            <w:tr>
              <w:tc>
                <w:tcPr>
                  <w:tcW w:w="69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Demonstrated experience designing, executing, and analysing adversarial or security-focused experiments (e.g. penetration testing, red teaming, fuzzing, or vulnerability research)</w:t>
                  </w:r>
                </w:p>
              </w:tc>
            </w:tr>
          </w:tbl>
          <w:p/>
        </w:tc>
        <w:tc>
          <w:tcPr>
            <w:tcW w:w="801" w:type="dxa"/>
            <w:tcBorders>
              <w:top w:val="nil"/>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E</w:t>
            </w:r>
          </w:p>
        </w:tc>
        <w:tc>
          <w:tcPr>
            <w:tcW w:w="936" w:type="dxa"/>
            <w:tcBorders>
              <w:top w:val="nil"/>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A/I</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APPLICATION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If you are interested in this opportunity, please click the apply button below. You will need to register on the applicant portal and complete the application form including your CV (maximum 3 pages, no photo) and covering letter (maximum 2 pages). </w:t>
      </w: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color w:val="000000"/>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color w:val="000000"/>
          <w:sz w:val="20"/>
          <w:szCs w:val="20"/>
          <w:lang w:val="en-GB" w:eastAsia="en-GB" w:bidi="en-GB"/>
        </w:rPr>
      </w:pPr>
      <w:r>
        <w:rPr>
          <w:rFonts w:ascii="Arial" w:hAnsi="Arial" w:eastAsia="Arial" w:cs="Arial"/>
          <w:b/>
          <w:bCs/>
          <w:color w:val="000000"/>
          <w:sz w:val="20"/>
          <w:szCs w:val="20"/>
          <w:lang w:val="en-GB" w:eastAsia="en-GB" w:bidi="en-GB"/>
        </w:rPr>
        <w:t xml:space="preserve">As this role requires eligibility for Developed Vetting (DV) clearance, it is an essential part of the application process that you include the following information as part of your cover letter:</w:t>
      </w:r>
      <w:r>
        <w:rPr>
          <w:rFonts w:ascii="Arial" w:hAnsi="Arial" w:eastAsia="Arial" w:cs="Arial"/>
          <w:color w:val="000000"/>
          <w:sz w:val="20"/>
          <w:szCs w:val="20"/>
          <w:lang w:val="en-GB" w:eastAsia="en-GB" w:bidi="en-GB"/>
        </w:rPr>
        <w:t xml:space="preserve"> </w:t>
      </w: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color w:val="000000"/>
          <w:sz w:val="20"/>
          <w:szCs w:val="20"/>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360"/>
        <w:rPr>
          <w:rFonts w:ascii="Arial" w:hAnsi="Arial" w:eastAsia="Arial" w:cs="Arial"/>
          <w:b/>
          <w:bCs/>
          <w:color w:val="000000"/>
          <w:sz w:val="20"/>
          <w:szCs w:val="20"/>
          <w:lang w:val="en-GB" w:eastAsia="en-GB" w:bidi="en-GB"/>
        </w:rPr>
      </w:pPr>
      <w:r>
        <w:rPr>
          <w:rFonts w:ascii="Arial" w:hAnsi="Arial" w:eastAsia="Arial" w:cs="Arial"/>
          <w:color w:val="000000"/>
          <w:sz w:val="20"/>
          <w:szCs w:val="20"/>
          <w:lang w:val="en-GB" w:eastAsia="en-GB" w:bidi="en-GB"/>
        </w:rPr>
        <w:t xml:space="preserve">Your current nationality</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360"/>
        <w:rPr>
          <w:rFonts w:ascii="Arial" w:hAnsi="Arial" w:eastAsia="Arial" w:cs="Arial"/>
          <w:b/>
          <w:bCs/>
          <w:color w:val="000000"/>
          <w:sz w:val="20"/>
          <w:szCs w:val="20"/>
          <w:lang w:val="en-GB" w:eastAsia="en-GB" w:bidi="en-GB"/>
        </w:rPr>
      </w:pPr>
      <w:r>
        <w:rPr>
          <w:rFonts w:ascii="Arial" w:hAnsi="Arial" w:eastAsia="Arial" w:cs="Arial"/>
          <w:color w:val="000000"/>
          <w:sz w:val="20"/>
          <w:szCs w:val="20"/>
          <w:lang w:val="en-GB" w:eastAsia="en-GB" w:bidi="en-GB"/>
        </w:rPr>
        <w:t xml:space="preserve">Your nationality at birth</w:t>
      </w:r>
    </w:p>
    <w:p>
      <w:pPr>
        <w:pStyle w:val="ListParagraph"/>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b/>
          <w:bCs/>
          <w:color w:val="000000"/>
          <w:sz w:val="20"/>
          <w:szCs w:val="20"/>
          <w:lang w:val="en-GB" w:eastAsia="en-GB" w:bidi="en-GB"/>
        </w:rPr>
      </w:pPr>
    </w:p>
    <w:p>
      <w:pPr>
        <w:pStyle w:val="ListParagraph"/>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b/>
          <w:bCs/>
          <w:color w:val="000000"/>
          <w:sz w:val="20"/>
          <w:szCs w:val="20"/>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360"/>
        <w:rPr>
          <w:rFonts w:ascii="Arial" w:hAnsi="Arial" w:eastAsia="Arial" w:cs="Arial"/>
          <w:b/>
          <w:bCs/>
          <w:color w:val="000000"/>
          <w:sz w:val="20"/>
          <w:szCs w:val="20"/>
          <w:lang w:val="en-GB" w:eastAsia="en-GB" w:bidi="en-GB"/>
        </w:rPr>
      </w:pPr>
      <w:r>
        <w:rPr>
          <w:rFonts w:ascii="Arial" w:hAnsi="Arial" w:eastAsia="Arial" w:cs="Arial"/>
          <w:color w:val="000000"/>
          <w:sz w:val="20"/>
          <w:szCs w:val="20"/>
          <w:lang w:val="en-GB" w:eastAsia="en-GB" w:bidi="en-GB"/>
        </w:rPr>
        <w:t xml:space="preserve">Other nationality (include dual nationality if applicable)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360"/>
        <w:rPr>
          <w:rFonts w:ascii="Arial" w:hAnsi="Arial" w:eastAsia="Arial" w:cs="Arial"/>
          <w:b/>
          <w:bCs/>
          <w:color w:val="000000"/>
          <w:sz w:val="20"/>
          <w:szCs w:val="20"/>
          <w:lang w:val="en-GB" w:eastAsia="en-GB" w:bidi="en-GB"/>
        </w:rPr>
      </w:pPr>
      <w:r>
        <w:rPr>
          <w:rFonts w:ascii="Arial" w:hAnsi="Arial" w:eastAsia="Arial" w:cs="Arial"/>
          <w:color w:val="000000"/>
          <w:sz w:val="20"/>
          <w:szCs w:val="20"/>
          <w:lang w:val="en-GB" w:eastAsia="en-GB" w:bidi="en-GB"/>
        </w:rPr>
        <w:t xml:space="preserve">Confirmation that you have been residing in the UK for the past 5 years (if you haven’t, please provide details of when and where you resided and the reason)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360"/>
        <w:rPr>
          <w:rFonts w:ascii="Arial" w:hAnsi="Arial" w:eastAsia="Arial" w:cs="Arial"/>
          <w:b/>
          <w:bCs/>
          <w:color w:val="000000"/>
          <w:sz w:val="20"/>
          <w:szCs w:val="20"/>
          <w:lang w:val="en-GB" w:eastAsia="en-GB" w:bidi="en-GB"/>
        </w:rPr>
      </w:pPr>
      <w:r>
        <w:rPr>
          <w:rFonts w:ascii="Arial" w:hAnsi="Arial" w:eastAsia="Arial" w:cs="Arial"/>
          <w:color w:val="000000"/>
          <w:sz w:val="20"/>
          <w:szCs w:val="20"/>
          <w:lang w:val="en-GB" w:eastAsia="en-GB" w:bidi="en-GB"/>
        </w:rPr>
        <w:t xml:space="preserve">Country where you were born.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360"/>
        <w:rPr>
          <w:rFonts w:ascii="Arial" w:hAnsi="Arial" w:eastAsia="Arial" w:cs="Arial"/>
          <w:b/>
          <w:bCs/>
          <w:color w:val="000000"/>
          <w:sz w:val="20"/>
          <w:szCs w:val="20"/>
          <w:lang w:val="en-GB" w:eastAsia="en-GB" w:bidi="en-GB"/>
        </w:rPr>
      </w:pPr>
      <w:r>
        <w:rPr>
          <w:rFonts w:ascii="Arial" w:hAnsi="Arial" w:eastAsia="Arial" w:cs="Arial"/>
          <w:color w:val="000000"/>
          <w:sz w:val="20"/>
          <w:szCs w:val="20"/>
          <w:lang w:val="en-GB" w:eastAsia="en-GB" w:bidi="en-GB"/>
        </w:rPr>
        <w:t xml:space="preserve">County in which you were born.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360"/>
        <w:rPr>
          <w:rFonts w:ascii="Arial" w:hAnsi="Arial" w:eastAsia="Arial" w:cs="Arial"/>
          <w:b/>
          <w:bCs/>
          <w:color w:val="000000"/>
          <w:sz w:val="20"/>
          <w:szCs w:val="20"/>
          <w:lang w:val="en-GB" w:eastAsia="en-GB" w:bidi="en-GB"/>
        </w:rPr>
      </w:pPr>
      <w:r>
        <w:rPr>
          <w:rFonts w:ascii="Arial" w:hAnsi="Arial" w:eastAsia="Arial" w:cs="Arial"/>
          <w:color w:val="000000"/>
          <w:sz w:val="20"/>
          <w:szCs w:val="20"/>
          <w:lang w:val="en-GB" w:eastAsia="en-GB" w:bidi="en-GB"/>
        </w:rPr>
        <w:t xml:space="preserve">Town where you were born.</w:t>
      </w:r>
    </w:p>
    <w:p>
      <w:pPr>
        <w:pStyle w:val="ListParagraph"/>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b/>
          <w:bCs/>
          <w:color w:val="000000"/>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color w:val="000000"/>
          <w:sz w:val="20"/>
          <w:szCs w:val="20"/>
          <w:lang w:val="en-GB" w:eastAsia="en-GB" w:bidi="en-GB"/>
        </w:rPr>
      </w:pPr>
      <w:r>
        <w:rPr>
          <w:rFonts w:ascii="Arial" w:hAnsi="Arial" w:eastAsia="Arial" w:cs="Arial"/>
          <w:b/>
          <w:bCs/>
          <w:color w:val="000000"/>
          <w:sz w:val="20"/>
          <w:szCs w:val="20"/>
          <w:u w:val="single"/>
          <w:lang w:val="en-GB" w:eastAsia="en-GB" w:bidi="en-GB"/>
        </w:rPr>
        <w:t xml:space="preserve">Please note, if these details are not provided, we will be unable to progress with your application for this role.</w:t>
      </w:r>
      <w:r>
        <w:rPr>
          <w:rFonts w:ascii="Arial" w:hAnsi="Arial" w:eastAsia="Arial" w:cs="Arial"/>
          <w:color w:val="000000"/>
          <w:sz w:val="20"/>
          <w:szCs w:val="20"/>
          <w:lang w:val="en-GB" w:eastAsia="en-GB" w:bidi="en-GB"/>
        </w:rPr>
        <w:t xml:space="preserve"> </w:t>
      </w: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Arial" w:cs="Arial"/>
          <w:color w:val="000000"/>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TERMS AND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Hyperlink"/>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This full-time post is offered on a two year fixed term basis. Salay range is £70,179 - £85,000 plus excellent benefits, including flexible working and family friendly policies, </w:t>
      </w:r>
      <w:r>
        <w:rPr>
          <w:rStyle w:val="Hyperlink"/>
          <w:rFonts w:ascii="Arial" w:hAnsi="Arial" w:eastAsia="Arial" w:cs="Arial"/>
          <w:sz w:val="20"/>
          <w:szCs w:val="20"/>
          <w:lang w:val="en-GB" w:eastAsia="en-GB" w:bidi="en-GB"/>
        </w:rPr>
        <w:fldChar w:fldCharType="begin"/>
      </w:r>
      <w:r>
        <w:rPr>
          <w:rStyle w:val="Hyperlink"/>
          <w:rFonts w:ascii="Arial" w:hAnsi="Arial" w:eastAsia="Arial" w:cs="Arial"/>
          <w:sz w:val="20"/>
          <w:szCs w:val="20"/>
          <w:lang w:val="en-GB" w:eastAsia="en-GB" w:bidi="en-GB"/>
        </w:rPr>
        <w:instrText xml:space="preserve"> HYPERLINK "https://www.turing.ac.uk/work-turing/why-work-turing/employee-only-benefits-guide" </w:instrText>
      </w:r>
      <w:r>
        <w:rPr>
          <w:rStyle w:val="Hyperlink"/>
          <w:rFonts w:ascii="Arial" w:hAnsi="Arial" w:eastAsia="Arial" w:cs="Arial"/>
          <w:sz w:val="20"/>
          <w:szCs w:val="20"/>
          <w:lang w:val="en-GB" w:eastAsia="en-GB" w:bidi="en-GB"/>
        </w:rPr>
        <w:fldChar w:fldCharType="separate"/>
      </w:r>
      <w:r>
        <w:rPr>
          <w:rStyle w:val="Hyperlink"/>
          <w:rFonts w:ascii="Arial" w:hAnsi="Arial" w:eastAsia="Arial" w:cs="Arial"/>
          <w:sz w:val="20"/>
          <w:szCs w:val="20"/>
          <w:lang w:val="en-GB" w:eastAsia="en-GB" w:bidi="en-GB"/>
        </w:rPr>
        <w:t xml:space="preserve">Employee-only benefits guide | The Alan Turing Institute</w:t>
      </w:r>
      <w:r>
        <w:rPr>
          <w:rStyle w:val="Hyperlink"/>
          <w:rFonts w:ascii="Arial" w:hAnsi="Arial" w:eastAsia="Arial" w:cs="Arial"/>
          <w:sz w:val="20"/>
          <w:szCs w:val="20"/>
          <w:lang w:val="en-GB" w:eastAsia="en-GB" w:bidi="en-GB"/>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The Alan Turing Institute is based at the British Library, in the heart of London’s Knowledge Quarter. We expect staff to come to our office at least 4 days per month. Some roles may require more days in the office; the hiring manager will be able to confirm this during the interview. </w:t>
      </w: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Fonts w:ascii="Arial" w:hAnsi="Arial" w:eastAsia="Arial" w:cs="Arial"/>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eastAsia="Arial" w:cs="Arial"/>
          <w:b/>
          <w:bCs/>
          <w:color w:val="000000"/>
          <w:sz w:val="20"/>
          <w:szCs w:val="20"/>
          <w:lang w:val="en-GB" w:eastAsia="en-GB" w:bidi="en-GB"/>
        </w:rPr>
      </w:pPr>
      <w:r>
        <w:rPr>
          <w:rFonts w:ascii="Arial" w:hAnsi="Arial" w:eastAsia="Arial" w:cs="Arial"/>
          <w:b/>
          <w:bCs/>
          <w:color w:val="000000"/>
          <w:sz w:val="20"/>
          <w:szCs w:val="20"/>
          <w:lang w:val="en-GB" w:eastAsia="en-GB" w:bidi="en-GB"/>
        </w:rPr>
        <w:t xml:space="preserve">EQUALITY, DIVERSITY AND INCLUSION</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The Alan Turing Institute is committed to creating an environment where diversity is valued and everyone is treated fairly. We value diversity of background, experience, and perspective, and are proud to be an inclusive employer. We warmly encourage applications from all backgrounds, particularly from groups currently under-represented in our sector. If you feel passionate about this role but don’t meet every single requirement, please apply — we recognise that great candidates may bring strengths beyond the criteria listed.</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We are committed to making sure our recruitment process is accessible and inclusive. This includes making reasonable adjustments for candidates who have a disability or long-term condition. Please contact us at</w:t>
      </w:r>
      <w:r>
        <w:rPr>
          <w:rFonts w:ascii="Arial" w:hAnsi="Arial" w:eastAsia="Arial" w:cs="Arial"/>
          <w:color w:val="000000"/>
          <w:spacing w:val="6"/>
          <w:sz w:val="20"/>
          <w:szCs w:val="20"/>
          <w:lang w:val="en-GB" w:eastAsia="en-GB" w:bidi="en-GB"/>
        </w:rPr>
        <w:t xml:space="preserve"> </w:t>
      </w:r>
      <w:r>
        <w:rPr>
          <w:rStyle w:val="Hyperlink"/>
          <w:rFonts w:ascii="Arial" w:hAnsi="Arial" w:eastAsia="Arial" w:cs="Arial"/>
          <w:spacing w:val="6"/>
          <w:sz w:val="20"/>
          <w:szCs w:val="20"/>
          <w:lang w:val="en-GB" w:eastAsia="en-GB" w:bidi="en-GB"/>
        </w:rPr>
        <w:fldChar w:fldCharType="begin"/>
      </w:r>
      <w:r>
        <w:rPr>
          <w:rStyle w:val="Hyperlink"/>
          <w:rFonts w:ascii="Arial" w:hAnsi="Arial" w:eastAsia="Arial" w:cs="Arial"/>
          <w:spacing w:val="6"/>
          <w:sz w:val="20"/>
          <w:szCs w:val="20"/>
          <w:lang w:val="en-GB" w:eastAsia="en-GB" w:bidi="en-GB"/>
        </w:rPr>
        <w:instrText xml:space="preserve"> HYPERLINK "mailto:recruitment@turing.ac.uk" </w:instrText>
      </w:r>
      <w:r>
        <w:rPr>
          <w:rStyle w:val="Hyperlink"/>
          <w:rFonts w:ascii="Arial" w:hAnsi="Arial" w:eastAsia="Arial" w:cs="Arial"/>
          <w:spacing w:val="6"/>
          <w:sz w:val="20"/>
          <w:szCs w:val="20"/>
          <w:lang w:val="en-GB" w:eastAsia="en-GB" w:bidi="en-GB"/>
        </w:rPr>
        <w:fldChar w:fldCharType="separate"/>
      </w:r>
      <w:r>
        <w:rPr>
          <w:rStyle w:val="Hyperlink"/>
          <w:rFonts w:ascii="Arial" w:hAnsi="Arial" w:eastAsia="Arial" w:cs="Arial"/>
          <w:spacing w:val="6"/>
          <w:sz w:val="20"/>
          <w:szCs w:val="20"/>
          <w:lang w:val="en-GB" w:eastAsia="en-GB" w:bidi="en-GB"/>
        </w:rPr>
        <w:t xml:space="preserve">recruitment@turing.ac.uk</w:t>
      </w:r>
      <w:r>
        <w:rPr>
          <w:rFonts w:ascii="Arial" w:hAnsi="Arial" w:eastAsia="Arial" w:cs="Arial"/>
          <w:color w:val="000000"/>
          <w:spacing w:val="6"/>
          <w:sz w:val="20"/>
          <w:szCs w:val="20"/>
          <w:lang w:val="en-GB" w:eastAsia="en-GB" w:bidi="en-GB"/>
        </w:rPr>
        <w:fldChar w:fldCharType="end"/>
      </w:r>
      <w:r>
        <w:rPr>
          <w:rFonts w:ascii="Arial" w:hAnsi="Arial" w:eastAsia="Arial" w:cs="Arial"/>
          <w:color w:val="000000"/>
          <w:spacing w:val="6"/>
          <w:sz w:val="20"/>
          <w:szCs w:val="20"/>
          <w:lang w:val="en-GB" w:eastAsia="en-GB" w:bidi="en-GB"/>
        </w:rPr>
        <w:t xml:space="preserve">  </w:t>
      </w:r>
      <w:r>
        <w:rPr>
          <w:rFonts w:ascii="Arial" w:hAnsi="Arial" w:eastAsia="Arial" w:cs="Arial"/>
          <w:color w:val="000000"/>
          <w:sz w:val="20"/>
          <w:szCs w:val="20"/>
          <w:lang w:val="en-GB" w:eastAsia="en-GB" w:bidi="en-GB"/>
        </w:rPr>
        <w:t xml:space="preserve">to find out how we can assist you.</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2"/>
          <w:szCs w:val="22"/>
          <w:lang w:val="en-GB" w:eastAsia="en-GB" w:bidi="en-GB"/>
        </w:rPr>
      </w:pPr>
      <w:r>
        <w:rPr>
          <w:rStyle w:val="Emphasis"/>
          <w:rFonts w:ascii="Arial" w:hAnsi="Arial" w:eastAsia="Arial" w:cs="Arial"/>
          <w:b/>
          <w:bCs/>
          <w:color w:val="000000"/>
          <w:sz w:val="20"/>
          <w:szCs w:val="20"/>
          <w:lang w:val="en-GB" w:eastAsia="en-GB" w:bidi="en-GB"/>
        </w:rPr>
        <w:t xml:space="preserve">Please note all offers of employment are subject to obtaining and retaining the right to work in the UK and satisfactory pre-employment security screening which includes a DBS Check.</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2"/>
          <w:szCs w:val="22"/>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mphasis"/>
          <w:rFonts w:ascii="Arial" w:hAnsi="Arial" w:eastAsia="Arial" w:cs="Arial"/>
          <w:b/>
          <w:bCs/>
          <w:color w:val="000000"/>
          <w:sz w:val="20"/>
          <w:szCs w:val="20"/>
          <w:lang w:val="en-GB" w:eastAsia="en-GB" w:bidi="en-GB"/>
        </w:rPr>
        <w:t xml:space="preserve">Full details on the pre-employment screening process can be requested from </w:t>
      </w:r>
      <w:r>
        <w:rPr>
          <w:rStyle w:val="Hyperlink"/>
          <w:rFonts w:ascii="Arial" w:hAnsi="Arial" w:eastAsia="Arial" w:cs="Arial"/>
          <w:sz w:val="20"/>
          <w:szCs w:val="20"/>
          <w:lang w:val="en-GB" w:eastAsia="en-GB" w:bidi="en-GB"/>
        </w:rPr>
        <w:fldChar w:fldCharType="begin"/>
      </w:r>
      <w:r>
        <w:rPr>
          <w:rStyle w:val="Hyperlink"/>
          <w:rFonts w:ascii="Arial" w:hAnsi="Arial" w:eastAsia="Arial" w:cs="Arial"/>
          <w:sz w:val="20"/>
          <w:szCs w:val="20"/>
          <w:lang w:val="en-GB" w:eastAsia="en-GB" w:bidi="en-GB"/>
        </w:rPr>
        <w:instrText xml:space="preserve"> HYPERLINK "mailto:HR@turing.ac.uk" </w:instrText>
      </w:r>
      <w:r>
        <w:rPr>
          <w:rStyle w:val="Hyperlink"/>
          <w:rFonts w:ascii="Arial" w:hAnsi="Arial" w:eastAsia="Arial" w:cs="Arial"/>
          <w:sz w:val="20"/>
          <w:szCs w:val="20"/>
          <w:lang w:val="en-GB" w:eastAsia="en-GB" w:bidi="en-GB"/>
        </w:rPr>
        <w:fldChar w:fldCharType="separate"/>
      </w:r>
      <w:r>
        <w:rPr>
          <w:rStyle w:val="Hyperlink"/>
          <w:rFonts w:ascii="Arial" w:hAnsi="Arial" w:eastAsia="Arial" w:cs="Arial"/>
          <w:sz w:val="20"/>
          <w:szCs w:val="20"/>
          <w:lang w:val="en-GB" w:eastAsia="en-GB" w:bidi="en-GB"/>
        </w:rPr>
        <w:t xml:space="preserve">HR@turing.ac.uk</w:t>
      </w:r>
      <w:r>
        <w:rPr>
          <w:rStyle w:val="Emphasis"/>
          <w:rFonts w:ascii="Arial" w:hAnsi="Arial" w:eastAsia="Arial" w:cs="Arial"/>
          <w:b/>
          <w:bCs/>
          <w:color w:val="000000"/>
          <w:sz w:val="20"/>
          <w:szCs w:val="20"/>
          <w:lang w:val="en-GB" w:eastAsia="en-GB" w:bidi="en-GB"/>
        </w:rPr>
        <w:fldChar w:fldCharType="end"/>
      </w:r>
      <w:r>
        <w:rPr>
          <w:rStyle w:val="Emphasis"/>
          <w:rFonts w:ascii="Arial" w:hAnsi="Arial" w:eastAsia="Arial" w:cs="Arial"/>
          <w:b/>
          <w:bCs/>
          <w:color w:val="000000"/>
          <w:sz w:val="20"/>
          <w:szCs w:val="20"/>
          <w:lang w:val="en-GB" w:eastAsia="en-GB" w:bidi="en-GB"/>
        </w:rPr>
        <w:t xml:space="preserv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sectPr>
          <w:headerReference w:type="default" r:id="rId00009"/>
          <w:footerReference w:type="default" r:id="rId00010"/>
          <w:pgSz w:w="11900" w:h="16838"/>
          <w:pgMar w:top="702" w:right="526" w:bottom="1440" w:left="580" w:header="0" w:footer="0"/>
          <w15:footnoteColumns w:val="1"/>
        </w:sectPr>
      </w:pPr>
    </w:p>
    <w:bookmarkStart w:id="1" w:name="page4"/>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OUR 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eastAsia="Arial" w:cs="Arial"/>
          <w:color w:val="auto"/>
          <w:sz w:val="20"/>
          <w:szCs w:val="20"/>
          <w:u w:val="none"/>
          <w:lang w:val="en-GB" w:eastAsia="en-GB" w:bidi="en-GB"/>
        </w:rPr>
      </w:pPr>
      <w:r>
        <w:rPr>
          <w:rFonts w:ascii="Arial" w:hAnsi="Arial" w:eastAsia="Arial" w:cs="Arial"/>
          <w:sz w:val="20"/>
          <w:szCs w:val="20"/>
          <w:lang w:val="en-GB" w:eastAsia="en-GB" w:bidi="en-GB"/>
        </w:rPr>
        <w:t xml:space="preserve">The Alan Turing Institute is committed to equality diversity and inclusion and to eliminating discrimination. All employees are expected to embrace, follow and promote our </w:t>
      </w:r>
      <w:r>
        <w:rPr>
          <w:rStyle w:val="Hyperlink"/>
          <w:rFonts w:ascii="Arial" w:hAnsi="Arial" w:eastAsia="Arial" w:cs="Arial"/>
          <w:sz w:val="20"/>
          <w:szCs w:val="20"/>
          <w:lang w:val="en-GB" w:eastAsia="en-GB" w:bidi="en-GB"/>
        </w:rPr>
        <w:fldChar w:fldCharType="begin"/>
      </w:r>
      <w:r>
        <w:rPr>
          <w:rStyle w:val="Hyperlink"/>
          <w:rFonts w:ascii="Arial" w:hAnsi="Arial" w:eastAsia="Arial" w:cs="Arial"/>
          <w:sz w:val="20"/>
          <w:szCs w:val="20"/>
          <w:lang w:val="en-GB" w:eastAsia="en-GB" w:bidi="en-GB"/>
        </w:rPr>
        <w:instrText xml:space="preserve"> HYPERLINK "https://www.turing.ac.uk/about-us/equality-diversity-and-inclusion" </w:instrText>
      </w:r>
      <w:r>
        <w:rPr>
          <w:rStyle w:val="Hyperlink"/>
          <w:rFonts w:ascii="Arial" w:hAnsi="Arial" w:eastAsia="Arial" w:cs="Arial"/>
          <w:sz w:val="20"/>
          <w:szCs w:val="20"/>
          <w:lang w:val="en-GB" w:eastAsia="en-GB" w:bidi="en-GB"/>
        </w:rPr>
        <w:fldChar w:fldCharType="separate"/>
      </w:r>
      <w:r>
        <w:rPr>
          <w:rStyle w:val="Hyperlink"/>
          <w:rFonts w:ascii="Arial" w:hAnsi="Arial" w:eastAsia="Arial" w:cs="Arial"/>
          <w:sz w:val="20"/>
          <w:szCs w:val="20"/>
          <w:lang w:val="en-GB" w:eastAsia="en-GB" w:bidi="en-GB"/>
        </w:rPr>
        <w:t xml:space="preserve">EDI Principles</w:t>
      </w:r>
      <w:r>
        <w:rPr>
          <w:rFonts w:ascii="Arial" w:hAnsi="Arial" w:eastAsia="Arial" w:cs="Arial"/>
          <w:sz w:val="20"/>
          <w:szCs w:val="20"/>
          <w:lang w:val="en-GB" w:eastAsia="en-GB" w:bidi="en-GB"/>
        </w:rPr>
        <w:fldChar w:fldCharType="end"/>
      </w:r>
      <w:r>
        <w:rPr>
          <w:rFonts w:ascii="Arial" w:hAnsi="Arial" w:eastAsia="Arial" w:cs="Arial"/>
          <w:sz w:val="20"/>
          <w:szCs w:val="20"/>
          <w:lang w:val="en-GB" w:eastAsia="en-GB" w:bidi="en-GB"/>
        </w:rPr>
        <w:t xml:space="preserve"> and Our</w:t>
      </w:r>
      <w:r>
        <w:rPr>
          <w:rStyle w:val="Hyperlink"/>
          <w:rFonts w:ascii="Arial" w:hAnsi="Arial" w:eastAsia="Arial" w:cs="Arial"/>
          <w:sz w:val="20"/>
          <w:szCs w:val="20"/>
          <w:u w:val="none"/>
          <w:lang w:val="en-GB" w:eastAsia="en-GB" w:bidi="en-GB"/>
        </w:rPr>
        <w:t xml:space="preserve"> </w:t>
      </w:r>
      <w:r>
        <w:rPr>
          <w:rStyle w:val="Hyperlink"/>
          <w:rFonts w:ascii="Arial" w:hAnsi="Arial" w:eastAsia="Arial" w:cs="Arial"/>
          <w:color w:val="auto"/>
          <w:sz w:val="20"/>
          <w:szCs w:val="20"/>
          <w:u w:val="none"/>
          <w:lang w:val="en-GB" w:eastAsia="en-GB" w:bidi="en-GB"/>
        </w:rPr>
        <w:t xml:space="preserve">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Pr>
          <w:sz w:val="20"/>
          <w:szCs w:val="20"/>
          <w:lang w:val="en-GB" w:eastAsia="en-GB" w:bidi="en-GB"/>
        </w:rPr>
        <w:drawing>
          <wp:inline distT="0" distB="0" distL="0" distR="0">
            <wp:extent cx="5696585" cy="4781550"/>
            <wp:docPr id="3" name="Picture 4"/>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5696585" cy="478155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Fonts w:ascii="Arial" w:hAnsi="Arial" w:eastAsia="Arial" w:cs="Arial"/>
          <w:b/>
          <w:bCs/>
          <w:sz w:val="20"/>
          <w:szCs w:val="20"/>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6"/>
        <w:jc w:val="both"/>
        <w:rPr>
          <w:color w:val="000000"/>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2"/>
          <w:szCs w:val="22"/>
          <w:lang w:val="en-GB" w:eastAsia="en-GB" w:bidi="en-GB"/>
        </w:rPr>
      </w:pPr>
    </w:p>
    <w:sectPr>
      <w:headerReference w:type="default" r:id="rId00011"/>
      <w:footerReference w:type="default" r:id="rId00012"/>
      <w:headerReference w:type="first" r:id="rId00013"/>
      <w:footerReference w:type="first" r:id="rId00014"/>
      <w:pgSz w:w="11906" w:h="16838"/>
      <w:pgMar w:top="1440" w:right="1440" w:bottom="1440" w:left="1440" w:header="709" w:footer="709"/>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r>
      <w:rPr>
        <w:noProof/>
        <w:lang w:val="en-GB" w:eastAsia="en-GB" w:bidi="en-GB"/>
      </w:rPr>
      <w:fldChar w:fldCharType="begin"/>
    </w:r>
    <w:r>
      <w:rPr>
        <w:noProof/>
        <w:lang w:val="en-GB" w:eastAsia="en-GB" w:bidi="en-GB"/>
      </w:rPr>
      <w:instrText xml:space="preserve"> PAGE \* Arabic \* MERGEFORMAT </w:instrText>
    </w:r>
    <w:r>
      <w:rPr>
        <w:noProof/>
        <w:lang w:val="en-GB" w:eastAsia="en-GB" w:bidi="en-GB"/>
      </w:rPr>
      <w:fldChar w:fldCharType="separate"/>
    </w:r>
    <w:r>
      <w:rPr>
        <w:noProof/>
        <w:lang w:val="en-GB" w:eastAsia="en-GB" w:bidi="en-GB"/>
      </w:rPr>
      <w:t xml:space="preserve">3</w:t>
    </w:r>
    <w:r>
      <w:rPr>
        <w:lang w:val="en-GB" w:eastAsia="en-GB" w:bidi="en-GB"/>
      </w:rPr>
      <w:fldChar w:fldCharType="end"/>
    </w:r>
  </w:p>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p>
</w:ftr>
</file>

<file path=word/footer0002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rPr>
        <w:lang w:val="en-GB" w:eastAsia="en-GB" w:bidi="en-GB"/>
      </w:rPr>
      <w:drawing>
        <wp:inline distT="0" distB="0" distL="0" distR="0">
          <wp:extent cx="2667000" cy="111760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667000" cy="1117600"/>
                  </a:xfrm>
                  <a:prstGeom prst="rect">
                    <a:avLst/>
                  </a:prstGeom>
                </pic:spPr>
              </pic:pic>
            </a:graphicData>
          </a:graphic>
        </wp:inline>
      </w:drawing>
    </w:r>
  </w:p>
</w:hd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p>
</w:hdr>
</file>

<file path=word/header0002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rPr>
        <w:lang w:val="en-GB" w:eastAsia="en-GB" w:bidi="en-GB"/>
      </w:rPr>
      <w:drawing>
        <wp:inline distT="0" distB="0" distL="0" distR="0">
          <wp:extent cx="2667000" cy="1117600"/>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667000" cy="11176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normaltextrun" w:customStyle="1">
    <w:name w:val="normaltextrun"/>
    <w:qFormat/>
    <w:rPr>
      <w:rtl w:val="off"/>
    </w:rPr>
  </w:style>
  <w:style w:type="character" w:styleId="Hyperlink">
    <w:name w:val="Hyperlink"/>
    <w:qFormat/>
    <w:rPr>
      <w:color w:val="0563C1"/>
      <w:u w:val="single"/>
      <w:rtl w:val="off"/>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Emphasis">
    <w:name w:val="Emphasis"/>
    <w:qFormat/>
    <w:rPr>
      <w:i/>
      <w:iCs/>
      <w:rtl w:val="off"/>
    </w:rPr>
  </w:style>
  <w:style w:type="character" w:styleId="Header Char" w:customStyle="1">
    <w:name w:val="Header Char"/>
    <w:qFormat/>
    <w:rPr>
      <w:rtl w:val="off"/>
    </w:rPr>
  </w:style>
  <w:style w:type="character" w:styleId="Footer Char" w:customStyle="1">
    <w:name w:val="Footer Char"/>
    <w:qFormat/>
    <w:rPr>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 w:type="paragraph" w:styleId="BalloonText">
    <w:name w:val="Balloon Text"/>
    <w:basedOn w:val="Normal"/>
    <w:next w:val="BalloonText"/>
    <w:qFormat/>
    <w:pPr>
      <w:spacing w:after="0" w:line="240" w:lineRule="auto"/>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rPr>
  </w:style>
  <w:style w:type="character" w:styleId="UnresolvedMention">
    <w:name w:val="Unresolved Mention"/>
    <w:qFormat/>
    <w:rPr>
      <w:color w:val="605E5C"/>
      <w:shd w:val="clear" w:color="auto" w:fill="E1DFDD"/>
      <w:rtl w:val="off"/>
    </w:rPr>
  </w:style>
  <w:style w:type="character" w:styleId="FollowedHyperlink">
    <w:name w:val="FollowedHyperlink"/>
    <w:qFormat/>
    <w:rPr>
      <w:color w:val="954F72"/>
      <w:u w:val="single"/>
      <w:rtl w:val="off"/>
    </w:rPr>
  </w:style>
  <w:style w:type="paragraph" w:styleId="x_msonormal" w:customStyle="1">
    <w:name w:val="x_msonormal"/>
    <w:basedOn w:val="Normal"/>
    <w:next w:val="x_msonormal"/>
    <w:qFormat/>
    <w:pPr>
      <w:spacing w:after="0" w:line="240" w:lineRule="auto"/>
    </w:pPr>
    <w:rPr>
      <w:lang w:val="en-GB" w:eastAsia="en-GB" w:bidi="en-GB"/>
    </w:rPr>
  </w:style>
  <w:style w:type="character" w:styleId="ui-provider" w:customStyle="1">
    <w:name w:val="ui-provider"/>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header" Target="header0002.xml"/>
	<Relationship Id="rId00012" Type="http://schemas.openxmlformats.org/officeDocument/2006/relationships/footer" Target="footer0002.xml"/>
	<Relationship Id="rId00013" Type="http://schemas.openxmlformats.org/officeDocument/2006/relationships/header" Target="header0002_first.xml"/>
	<Relationship Id="rId00014" Type="http://schemas.openxmlformats.org/officeDocument/2006/relationships/footer" Target="footer0002_first.xml"/>
	<Relationship Id="rId00008" Type="http://schemas.openxmlformats.org/officeDocument/2006/relationships/image" Target="media/image0003.jp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word/_rels/header0002_first.xml.rels><?xml version="1.0" encoding="UTF-8" standalone="yes"?><Relationships xmlns="http://schemas.openxmlformats.org/package/2006/relationships">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Thomas</dc:creator>
  <dcterms:created xsi:type="dcterms:W3CDTF">2026-05-22T15:15:00Z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60</vt:lpwstr>
  </property>
  <property fmtid="{D5CDD505-2E9C-101B-9397-08002B2CF9AE}" pid="3" name="ContentTypeId">
    <vt:lpwstr>0x01010051FCBC534CD65343B4BAFCDE3E5375FC</vt:lpwstr>
  </property>
</Properties>
</file>